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344E48" w:rsidP="00E82164">
      <w:pPr>
        <w:tabs>
          <w:tab w:val="left" w:pos="3285"/>
        </w:tabs>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t>Name</w:t>
      </w:r>
    </w:p>
    <w:p w:rsidR="00507909" w:rsidRPr="00E82164" w:rsidRDefault="00CD1C33" w:rsidP="00E82164">
      <w:pPr>
        <w:tabs>
          <w:tab w:val="left" w:pos="3285"/>
        </w:tabs>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t>POLS 2302</w:t>
      </w:r>
    </w:p>
    <w:p w:rsidR="00507909" w:rsidRPr="00E82164" w:rsidRDefault="00CD1C33" w:rsidP="00E82164">
      <w:pPr>
        <w:tabs>
          <w:tab w:val="left" w:pos="3285"/>
        </w:tabs>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t>Civil Rights, Civil Liberties, and t</w:t>
      </w:r>
      <w:r w:rsidR="00344E48" w:rsidRPr="00E82164">
        <w:rPr>
          <w:rFonts w:ascii="Times New Roman" w:hAnsi="Times New Roman" w:cs="Times New Roman"/>
          <w:sz w:val="24"/>
          <w:szCs w:val="24"/>
        </w:rPr>
        <w:t xml:space="preserve">he Bureaucracy </w:t>
      </w:r>
    </w:p>
    <w:p w:rsidR="00507909" w:rsidRPr="00E82164" w:rsidRDefault="00344E48" w:rsidP="00E82164">
      <w:pPr>
        <w:tabs>
          <w:tab w:val="left" w:pos="3285"/>
        </w:tabs>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t>Date</w:t>
      </w:r>
    </w:p>
    <w:p w:rsidR="00507909" w:rsidRPr="00E82164" w:rsidRDefault="00344E48" w:rsidP="00E82164">
      <w:pPr>
        <w:tabs>
          <w:tab w:val="left" w:pos="3285"/>
        </w:tabs>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t>Semester</w:t>
      </w:r>
    </w:p>
    <w:p w:rsidR="00507909" w:rsidRPr="00E82164" w:rsidRDefault="00507909" w:rsidP="00E82164">
      <w:pPr>
        <w:tabs>
          <w:tab w:val="left" w:pos="3285"/>
        </w:tabs>
        <w:spacing w:after="0" w:line="480" w:lineRule="auto"/>
        <w:contextualSpacing/>
        <w:jc w:val="center"/>
        <w:rPr>
          <w:rFonts w:ascii="Times New Roman" w:hAnsi="Times New Roman" w:cs="Times New Roman"/>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507909" w:rsidRPr="00E82164" w:rsidRDefault="00507909" w:rsidP="00E82164">
      <w:pPr>
        <w:spacing w:after="0" w:line="480" w:lineRule="auto"/>
        <w:contextualSpacing/>
        <w:jc w:val="center"/>
        <w:rPr>
          <w:rFonts w:ascii="Times New Roman" w:hAnsi="Times New Roman" w:cs="Times New Roman"/>
          <w:b/>
          <w:sz w:val="24"/>
          <w:szCs w:val="24"/>
        </w:rPr>
      </w:pPr>
    </w:p>
    <w:p w:rsidR="00E82164" w:rsidRPr="00E82164" w:rsidRDefault="00E82164" w:rsidP="00E82164">
      <w:pPr>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sz w:val="24"/>
          <w:szCs w:val="24"/>
        </w:rPr>
        <w:br w:type="page"/>
      </w:r>
      <w:r w:rsidRPr="00E82164">
        <w:rPr>
          <w:rFonts w:ascii="Times New Roman" w:hAnsi="Times New Roman" w:cs="Times New Roman"/>
          <w:sz w:val="24"/>
          <w:szCs w:val="24"/>
        </w:rPr>
        <w:lastRenderedPageBreak/>
        <w:t>Civil Rights and the Bureaucracy</w:t>
      </w:r>
    </w:p>
    <w:p w:rsidR="00507909" w:rsidRPr="00E82164" w:rsidRDefault="00E82164" w:rsidP="00E82164">
      <w:pPr>
        <w:spacing w:after="0" w:line="480" w:lineRule="auto"/>
        <w:contextualSpacing/>
        <w:jc w:val="center"/>
        <w:rPr>
          <w:rFonts w:ascii="Times New Roman" w:hAnsi="Times New Roman" w:cs="Times New Roman"/>
          <w:b/>
          <w:sz w:val="24"/>
          <w:szCs w:val="24"/>
        </w:rPr>
      </w:pPr>
      <w:r w:rsidRPr="00E82164">
        <w:rPr>
          <w:rFonts w:ascii="Times New Roman" w:hAnsi="Times New Roman" w:cs="Times New Roman"/>
          <w:b/>
          <w:sz w:val="24"/>
          <w:szCs w:val="24"/>
        </w:rPr>
        <w:t xml:space="preserve"> </w:t>
      </w:r>
      <w:r w:rsidR="00344E48" w:rsidRPr="00E82164">
        <w:rPr>
          <w:rFonts w:ascii="Times New Roman" w:hAnsi="Times New Roman" w:cs="Times New Roman"/>
          <w:b/>
          <w:sz w:val="24"/>
          <w:szCs w:val="24"/>
        </w:rPr>
        <w:t>Introduction</w:t>
      </w:r>
    </w:p>
    <w:p w:rsidR="00507909"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main focus of this paper is on thre</w:t>
      </w:r>
      <w:r w:rsidR="00CD0DD6" w:rsidRPr="00E82164">
        <w:rPr>
          <w:rFonts w:ascii="Times New Roman" w:hAnsi="Times New Roman" w:cs="Times New Roman"/>
          <w:sz w:val="24"/>
          <w:szCs w:val="24"/>
        </w:rPr>
        <w:t>e subject areas of American government</w:t>
      </w:r>
      <w:r w:rsidRPr="00E82164">
        <w:rPr>
          <w:rFonts w:ascii="Times New Roman" w:hAnsi="Times New Roman" w:cs="Times New Roman"/>
          <w:sz w:val="24"/>
          <w:szCs w:val="24"/>
        </w:rPr>
        <w:t xml:space="preserve">. The subjects are civil rights, civil liberties, and bureaucracy. Bureaucracy refers to the actual offices, task, and principles of organization employed in the most formal and sustained administration (Lowi, Ginsberg, Shepsle, &amp; Ansolabehere, 2008). Civil liberties protections regulate government by defining spheres of activity in which the government authority to interfere is limited. Civil rights </w:t>
      </w:r>
      <w:r w:rsidR="00542D95" w:rsidRPr="00E82164">
        <w:rPr>
          <w:rFonts w:ascii="Times New Roman" w:hAnsi="Times New Roman" w:cs="Times New Roman"/>
          <w:sz w:val="24"/>
          <w:szCs w:val="24"/>
        </w:rPr>
        <w:t>govern how citizens must be treated in terms of their rights to participate in government and society.</w:t>
      </w:r>
    </w:p>
    <w:p w:rsidR="001826B8" w:rsidRPr="00E82164" w:rsidRDefault="00344E48" w:rsidP="00E82164">
      <w:pPr>
        <w:spacing w:after="0" w:line="480" w:lineRule="auto"/>
        <w:contextualSpacing/>
        <w:jc w:val="center"/>
        <w:rPr>
          <w:rFonts w:ascii="Times New Roman" w:hAnsi="Times New Roman" w:cs="Times New Roman"/>
          <w:b/>
          <w:sz w:val="24"/>
          <w:szCs w:val="24"/>
        </w:rPr>
      </w:pPr>
      <w:r w:rsidRPr="00E82164">
        <w:rPr>
          <w:rFonts w:ascii="Times New Roman" w:hAnsi="Times New Roman" w:cs="Times New Roman"/>
          <w:b/>
          <w:sz w:val="24"/>
          <w:szCs w:val="24"/>
        </w:rPr>
        <w:t>Civil Rights</w:t>
      </w:r>
    </w:p>
    <w:p w:rsidR="00861C66"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Amendments</w:t>
      </w:r>
    </w:p>
    <w:p w:rsidR="00B566C6"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three reconstruction amendments revolutionized freedom in the United States by assuring that the law protected freedom. Each of the three reconstruction amendments; the thirteenth, which outlawed slavery; the fourteenth, which granted citizenship to people born in the United States and ensured due process; the fifteenth which gave the right to vote to all male citizens (</w:t>
      </w:r>
      <w:r w:rsidR="002874B5" w:rsidRPr="00E82164">
        <w:rPr>
          <w:rFonts w:ascii="Times New Roman" w:hAnsi="Times New Roman" w:cs="Times New Roman"/>
          <w:sz w:val="24"/>
          <w:szCs w:val="24"/>
        </w:rPr>
        <w:t>Burton, 2018</w:t>
      </w:r>
      <w:r w:rsidRPr="00E82164">
        <w:rPr>
          <w:rFonts w:ascii="Times New Roman" w:hAnsi="Times New Roman" w:cs="Times New Roman"/>
          <w:sz w:val="24"/>
          <w:szCs w:val="24"/>
        </w:rPr>
        <w:t>). All the three amendments specify that the Congress shall have the power to enforce.</w:t>
      </w:r>
    </w:p>
    <w:p w:rsidR="00CF409F"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On January 31, 1865, Congress passed the 13t</w:t>
      </w:r>
      <w:r w:rsidR="00B566C6" w:rsidRPr="00E82164">
        <w:rPr>
          <w:rFonts w:ascii="Times New Roman" w:hAnsi="Times New Roman" w:cs="Times New Roman"/>
          <w:sz w:val="24"/>
          <w:szCs w:val="24"/>
        </w:rPr>
        <w:t>h</w:t>
      </w:r>
      <w:r w:rsidRPr="00E82164">
        <w:rPr>
          <w:rFonts w:ascii="Times New Roman" w:hAnsi="Times New Roman" w:cs="Times New Roman"/>
          <w:sz w:val="24"/>
          <w:szCs w:val="24"/>
        </w:rPr>
        <w:t xml:space="preserve"> amendment, declaring slavery illegal in the United States (Jones, 2016). </w:t>
      </w:r>
      <w:r w:rsidR="00B566C6" w:rsidRPr="00E82164">
        <w:rPr>
          <w:rFonts w:ascii="Times New Roman" w:hAnsi="Times New Roman" w:cs="Times New Roman"/>
          <w:sz w:val="24"/>
          <w:szCs w:val="24"/>
        </w:rPr>
        <w:t>Congress introduced the thirteenth amendment in 1865 just after the end of the war. Section 1 states that neither slavery nor involuntary servitude, except as a punishment for crime, of whom the party shall be duly convicted, shall exist within the United States, or any place subject to their jurisdiction (</w:t>
      </w:r>
      <w:r w:rsidR="00A12C8A" w:rsidRPr="00E82164">
        <w:rPr>
          <w:rFonts w:ascii="Times New Roman" w:hAnsi="Times New Roman" w:cs="Times New Roman"/>
          <w:sz w:val="24"/>
          <w:szCs w:val="24"/>
        </w:rPr>
        <w:t>Burton, 2018</w:t>
      </w:r>
      <w:r w:rsidR="00B566C6" w:rsidRPr="00E82164">
        <w:rPr>
          <w:rFonts w:ascii="Times New Roman" w:hAnsi="Times New Roman" w:cs="Times New Roman"/>
          <w:sz w:val="24"/>
          <w:szCs w:val="24"/>
        </w:rPr>
        <w:t xml:space="preserve">). In the amendment, </w:t>
      </w:r>
      <w:r w:rsidR="00106AC3" w:rsidRPr="00E82164">
        <w:rPr>
          <w:rFonts w:ascii="Times New Roman" w:hAnsi="Times New Roman" w:cs="Times New Roman"/>
          <w:sz w:val="24"/>
          <w:szCs w:val="24"/>
        </w:rPr>
        <w:t>there</w:t>
      </w:r>
      <w:r w:rsidR="00B566C6" w:rsidRPr="00E82164">
        <w:rPr>
          <w:rFonts w:ascii="Times New Roman" w:hAnsi="Times New Roman" w:cs="Times New Roman"/>
          <w:sz w:val="24"/>
          <w:szCs w:val="24"/>
        </w:rPr>
        <w:t xml:space="preserve"> was a section that stated that Congress</w:t>
      </w:r>
      <w:r w:rsidR="00A12C8A" w:rsidRPr="00E82164">
        <w:rPr>
          <w:rFonts w:ascii="Times New Roman" w:hAnsi="Times New Roman" w:cs="Times New Roman"/>
          <w:sz w:val="24"/>
          <w:szCs w:val="24"/>
        </w:rPr>
        <w:t xml:space="preserve"> has the power to enforce the article inappropriate legislation. </w:t>
      </w:r>
    </w:p>
    <w:p w:rsidR="00047585"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 xml:space="preserve">Congress passed the </w:t>
      </w:r>
      <w:r w:rsidR="00106AC3" w:rsidRPr="00E82164">
        <w:rPr>
          <w:rFonts w:ascii="Times New Roman" w:hAnsi="Times New Roman" w:cs="Times New Roman"/>
          <w:sz w:val="24"/>
          <w:szCs w:val="24"/>
        </w:rPr>
        <w:t>fourteenth</w:t>
      </w:r>
      <w:r w:rsidRPr="00E82164">
        <w:rPr>
          <w:rFonts w:ascii="Times New Roman" w:hAnsi="Times New Roman" w:cs="Times New Roman"/>
          <w:sz w:val="24"/>
          <w:szCs w:val="24"/>
        </w:rPr>
        <w:t xml:space="preserve"> amendment in 1866. </w:t>
      </w:r>
      <w:r w:rsidR="00106AC3" w:rsidRPr="00E82164">
        <w:rPr>
          <w:rFonts w:ascii="Times New Roman" w:hAnsi="Times New Roman" w:cs="Times New Roman"/>
          <w:sz w:val="24"/>
          <w:szCs w:val="24"/>
        </w:rPr>
        <w:t xml:space="preserve">This amendment aimed to define the rights and citizenship of the United States. </w:t>
      </w:r>
      <w:r w:rsidRPr="00E82164">
        <w:rPr>
          <w:rFonts w:ascii="Times New Roman" w:hAnsi="Times New Roman" w:cs="Times New Roman"/>
          <w:sz w:val="24"/>
          <w:szCs w:val="24"/>
        </w:rPr>
        <w:t>In the first clause, it stated that any person born in the United States has the right to be a citiz</w:t>
      </w:r>
      <w:r w:rsidR="00876A8F" w:rsidRPr="00E82164">
        <w:rPr>
          <w:rFonts w:ascii="Times New Roman" w:hAnsi="Times New Roman" w:cs="Times New Roman"/>
          <w:sz w:val="24"/>
          <w:szCs w:val="24"/>
        </w:rPr>
        <w:t xml:space="preserve">en of the United States by </w:t>
      </w:r>
      <w:r w:rsidRPr="00E82164">
        <w:rPr>
          <w:rFonts w:ascii="Times New Roman" w:hAnsi="Times New Roman" w:cs="Times New Roman"/>
          <w:sz w:val="24"/>
          <w:szCs w:val="24"/>
        </w:rPr>
        <w:t xml:space="preserve">birthright. </w:t>
      </w:r>
      <w:r w:rsidR="00106AC3" w:rsidRPr="00E82164">
        <w:rPr>
          <w:rFonts w:ascii="Times New Roman" w:hAnsi="Times New Roman" w:cs="Times New Roman"/>
          <w:sz w:val="24"/>
          <w:szCs w:val="24"/>
        </w:rPr>
        <w:t xml:space="preserve">In the amendment, it banned any individual people who had taken part in insurrection or the rebellion against the United States from holding civil or military office. The fifteenth amendment was the only one of the </w:t>
      </w:r>
      <w:r w:rsidR="00876A8F" w:rsidRPr="00E82164">
        <w:rPr>
          <w:rFonts w:ascii="Times New Roman" w:hAnsi="Times New Roman" w:cs="Times New Roman"/>
          <w:sz w:val="24"/>
          <w:szCs w:val="24"/>
        </w:rPr>
        <w:t>reconstruction</w:t>
      </w:r>
      <w:r w:rsidR="00106AC3" w:rsidRPr="00E82164">
        <w:rPr>
          <w:rFonts w:ascii="Times New Roman" w:hAnsi="Times New Roman" w:cs="Times New Roman"/>
          <w:sz w:val="24"/>
          <w:szCs w:val="24"/>
        </w:rPr>
        <w:t xml:space="preserve"> amendments to focus explicitly on </w:t>
      </w:r>
      <w:r w:rsidR="00876A8F" w:rsidRPr="00E82164">
        <w:rPr>
          <w:rFonts w:ascii="Times New Roman" w:hAnsi="Times New Roman" w:cs="Times New Roman"/>
          <w:sz w:val="24"/>
          <w:szCs w:val="24"/>
        </w:rPr>
        <w:t>race (Maltz, 2019)</w:t>
      </w:r>
      <w:r w:rsidR="00106AC3" w:rsidRPr="00E82164">
        <w:rPr>
          <w:rFonts w:ascii="Times New Roman" w:hAnsi="Times New Roman" w:cs="Times New Roman"/>
          <w:sz w:val="24"/>
          <w:szCs w:val="24"/>
        </w:rPr>
        <w:t xml:space="preserve">. </w:t>
      </w:r>
    </w:p>
    <w:p w:rsidR="006C15BA"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 xml:space="preserve">Landmark </w:t>
      </w:r>
      <w:r w:rsidR="001E192F" w:rsidRPr="00E82164">
        <w:rPr>
          <w:rFonts w:ascii="Times New Roman" w:hAnsi="Times New Roman" w:cs="Times New Roman"/>
          <w:b/>
          <w:sz w:val="24"/>
          <w:szCs w:val="24"/>
        </w:rPr>
        <w:t>Supreme Court Cases</w:t>
      </w:r>
    </w:p>
    <w:p w:rsidR="001D2758"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A landmark case concerning civil rights is on the ruling of the fourteenth amendment. It was the case of Roe v. Wade. Citation: 410 U.S. 113. The issue was whether state prohibition of abortion is constitutional. The case ruled in the year 1973 by Justice Harry Blackmun. His opinion was that the rights of privacy protect women's freedom to choose an abortion (</w:t>
      </w:r>
      <w:r w:rsidR="00047FF6" w:rsidRPr="00E82164">
        <w:rPr>
          <w:rFonts w:ascii="Times New Roman" w:hAnsi="Times New Roman" w:cs="Times New Roman"/>
          <w:sz w:val="24"/>
          <w:szCs w:val="24"/>
        </w:rPr>
        <w:t>Lively, &amp; Broyles, 2016</w:t>
      </w:r>
      <w:r w:rsidRPr="00E82164">
        <w:rPr>
          <w:rFonts w:ascii="Times New Roman" w:hAnsi="Times New Roman" w:cs="Times New Roman"/>
          <w:sz w:val="24"/>
          <w:szCs w:val="24"/>
        </w:rPr>
        <w:t xml:space="preserve">). </w:t>
      </w:r>
    </w:p>
    <w:p w:rsidR="001D2758"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A second landmark case was of Webster v. Reproductive Health Services. Citation: 492 U.S. 490. The issue was whether a state law prohibiting abortions in public hospitals and requiring fetal viability testing after 20 weeks violated a woman's freedom to perform an abortion. The case ruled in the year 1989 by Chief Justice William Rehnquist. The enactment upheld and a woman liberty to choose an abortion, although narrowed was not overturned (</w:t>
      </w:r>
      <w:r w:rsidR="00D41CF4" w:rsidRPr="00E82164">
        <w:rPr>
          <w:rFonts w:ascii="Times New Roman" w:hAnsi="Times New Roman" w:cs="Times New Roman"/>
          <w:sz w:val="24"/>
          <w:szCs w:val="24"/>
        </w:rPr>
        <w:t>Lively, &amp; Broyles, 2016</w:t>
      </w:r>
      <w:r w:rsidRPr="00E82164">
        <w:rPr>
          <w:rFonts w:ascii="Times New Roman" w:hAnsi="Times New Roman" w:cs="Times New Roman"/>
          <w:sz w:val="24"/>
          <w:szCs w:val="24"/>
        </w:rPr>
        <w:t>).</w:t>
      </w:r>
    </w:p>
    <w:p w:rsidR="006C15BA" w:rsidRPr="00E82164" w:rsidRDefault="00344E48" w:rsidP="00E82164">
      <w:pPr>
        <w:spacing w:after="0" w:line="480" w:lineRule="auto"/>
        <w:contextualSpacing/>
        <w:jc w:val="center"/>
        <w:rPr>
          <w:rFonts w:ascii="Times New Roman" w:hAnsi="Times New Roman" w:cs="Times New Roman"/>
          <w:sz w:val="24"/>
          <w:szCs w:val="24"/>
        </w:rPr>
      </w:pPr>
      <w:r w:rsidRPr="00E82164">
        <w:rPr>
          <w:rFonts w:ascii="Times New Roman" w:hAnsi="Times New Roman" w:cs="Times New Roman"/>
          <w:b/>
          <w:sz w:val="24"/>
          <w:szCs w:val="24"/>
        </w:rPr>
        <w:t xml:space="preserve">Civil </w:t>
      </w:r>
      <w:r w:rsidR="001E192F" w:rsidRPr="00E82164">
        <w:rPr>
          <w:rFonts w:ascii="Times New Roman" w:hAnsi="Times New Roman" w:cs="Times New Roman"/>
          <w:b/>
          <w:sz w:val="24"/>
          <w:szCs w:val="24"/>
        </w:rPr>
        <w:t>Liberties</w:t>
      </w:r>
    </w:p>
    <w:p w:rsidR="00FA46CA"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Amendments</w:t>
      </w:r>
    </w:p>
    <w:p w:rsidR="00FA46CA"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rights in the bill of rights are understood as civil liberties because they place restraints on government (</w:t>
      </w:r>
      <w:r w:rsidR="001E192F" w:rsidRPr="00E82164">
        <w:rPr>
          <w:rFonts w:ascii="Times New Roman" w:hAnsi="Times New Roman" w:cs="Times New Roman"/>
          <w:sz w:val="24"/>
          <w:szCs w:val="24"/>
        </w:rPr>
        <w:t>Lowi, Ginsberg, Shepsle, &amp; Ansolabehere, 2017</w:t>
      </w:r>
      <w:r w:rsidRPr="00E82164">
        <w:rPr>
          <w:rFonts w:ascii="Times New Roman" w:hAnsi="Times New Roman" w:cs="Times New Roman"/>
          <w:sz w:val="24"/>
          <w:szCs w:val="24"/>
        </w:rPr>
        <w:t xml:space="preserve">). The bill of rights is the first ten amendments made in the constitution. The first amendment gives the protection of free speech </w:t>
      </w:r>
      <w:r w:rsidR="00FF7087" w:rsidRPr="00E82164">
        <w:rPr>
          <w:rFonts w:ascii="Times New Roman" w:hAnsi="Times New Roman" w:cs="Times New Roman"/>
          <w:sz w:val="24"/>
          <w:szCs w:val="24"/>
        </w:rPr>
        <w:t>and freedom</w:t>
      </w:r>
      <w:r w:rsidRPr="00E82164">
        <w:rPr>
          <w:rFonts w:ascii="Times New Roman" w:hAnsi="Times New Roman" w:cs="Times New Roman"/>
          <w:sz w:val="24"/>
          <w:szCs w:val="24"/>
        </w:rPr>
        <w:t xml:space="preserve"> of mass protection. The fourth amendment protects the citizens </w:t>
      </w:r>
      <w:r w:rsidR="00FF7087" w:rsidRPr="00E82164">
        <w:rPr>
          <w:rFonts w:ascii="Times New Roman" w:hAnsi="Times New Roman" w:cs="Times New Roman"/>
          <w:sz w:val="24"/>
          <w:szCs w:val="24"/>
        </w:rPr>
        <w:t>against</w:t>
      </w:r>
      <w:r w:rsidRPr="00E82164">
        <w:rPr>
          <w:rFonts w:ascii="Times New Roman" w:hAnsi="Times New Roman" w:cs="Times New Roman"/>
          <w:sz w:val="24"/>
          <w:szCs w:val="24"/>
        </w:rPr>
        <w:t xml:space="preserve"> instances of unreasonable </w:t>
      </w:r>
      <w:r w:rsidR="00FF7087" w:rsidRPr="00E82164">
        <w:rPr>
          <w:rFonts w:ascii="Times New Roman" w:hAnsi="Times New Roman" w:cs="Times New Roman"/>
          <w:sz w:val="24"/>
          <w:szCs w:val="24"/>
        </w:rPr>
        <w:t>searches;</w:t>
      </w:r>
      <w:r w:rsidRPr="00E82164">
        <w:rPr>
          <w:rFonts w:ascii="Times New Roman" w:hAnsi="Times New Roman" w:cs="Times New Roman"/>
          <w:sz w:val="24"/>
          <w:szCs w:val="24"/>
        </w:rPr>
        <w:t xml:space="preserve"> the </w:t>
      </w:r>
      <w:r w:rsidR="00FF7087" w:rsidRPr="00E82164">
        <w:rPr>
          <w:rFonts w:ascii="Times New Roman" w:hAnsi="Times New Roman" w:cs="Times New Roman"/>
          <w:sz w:val="24"/>
          <w:szCs w:val="24"/>
        </w:rPr>
        <w:t>Fifth Amendment</w:t>
      </w:r>
      <w:r w:rsidRPr="00E82164">
        <w:rPr>
          <w:rFonts w:ascii="Times New Roman" w:hAnsi="Times New Roman" w:cs="Times New Roman"/>
          <w:sz w:val="24"/>
          <w:szCs w:val="24"/>
        </w:rPr>
        <w:t xml:space="preserve"> protects the </w:t>
      </w:r>
      <w:r w:rsidR="00FF7087" w:rsidRPr="00E82164">
        <w:rPr>
          <w:rFonts w:ascii="Times New Roman" w:hAnsi="Times New Roman" w:cs="Times New Roman"/>
          <w:sz w:val="24"/>
          <w:szCs w:val="24"/>
        </w:rPr>
        <w:t>citizen’s</w:t>
      </w:r>
      <w:r w:rsidRPr="00E82164">
        <w:rPr>
          <w:rFonts w:ascii="Times New Roman" w:hAnsi="Times New Roman" w:cs="Times New Roman"/>
          <w:sz w:val="24"/>
          <w:szCs w:val="24"/>
        </w:rPr>
        <w:t xml:space="preserve"> </w:t>
      </w:r>
      <w:r w:rsidR="00FF7087" w:rsidRPr="00E82164">
        <w:rPr>
          <w:rFonts w:ascii="Times New Roman" w:hAnsi="Times New Roman" w:cs="Times New Roman"/>
          <w:sz w:val="24"/>
          <w:szCs w:val="24"/>
        </w:rPr>
        <w:t>agonist</w:t>
      </w:r>
      <w:r w:rsidRPr="00E82164">
        <w:rPr>
          <w:rFonts w:ascii="Times New Roman" w:hAnsi="Times New Roman" w:cs="Times New Roman"/>
          <w:sz w:val="24"/>
          <w:szCs w:val="24"/>
        </w:rPr>
        <w:t xml:space="preserve"> double </w:t>
      </w:r>
      <w:r w:rsidR="00FF7087" w:rsidRPr="00E82164">
        <w:rPr>
          <w:rFonts w:ascii="Times New Roman" w:hAnsi="Times New Roman" w:cs="Times New Roman"/>
          <w:sz w:val="24"/>
          <w:szCs w:val="24"/>
        </w:rPr>
        <w:t>jeopardy</w:t>
      </w:r>
      <w:r w:rsidRPr="00E82164">
        <w:rPr>
          <w:rFonts w:ascii="Times New Roman" w:hAnsi="Times New Roman" w:cs="Times New Roman"/>
          <w:sz w:val="24"/>
          <w:szCs w:val="24"/>
        </w:rPr>
        <w:t>. It does this by ensuring the jury takes a role in the case</w:t>
      </w:r>
      <w:r w:rsidR="00FF7087" w:rsidRPr="00E82164">
        <w:rPr>
          <w:rFonts w:ascii="Times New Roman" w:hAnsi="Times New Roman" w:cs="Times New Roman"/>
          <w:sz w:val="24"/>
          <w:szCs w:val="24"/>
        </w:rPr>
        <w:t>. The sixth amendment makes sure that the citizens have the right to counsel in criminal trials. The eight amendments are the one that ensures prohibition of excessive bail, cruel and unusual punishment, and excessive fines.</w:t>
      </w:r>
    </w:p>
    <w:p w:rsidR="00FF7087"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 xml:space="preserve">Landmark </w:t>
      </w:r>
      <w:r w:rsidR="001E192F" w:rsidRPr="00E82164">
        <w:rPr>
          <w:rFonts w:ascii="Times New Roman" w:hAnsi="Times New Roman" w:cs="Times New Roman"/>
          <w:b/>
          <w:sz w:val="24"/>
          <w:szCs w:val="24"/>
        </w:rPr>
        <w:t xml:space="preserve">Supreme Court Cases </w:t>
      </w:r>
    </w:p>
    <w:p w:rsidR="001E192F"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first example concerning civil liberties is the case Gertz v. Robert Welch, Inc.  Citation: 418 U.S. 323. The issue on this case was whether the actual malice standard in a defamation action extends beyond public officials and public figures to provide a person. The outcome of the case based on the opinion of Justice Lewis Powel. The result was that private persons, unlike public officials and public figures, are not required to establish that a defamatory statement made with actual malice (</w:t>
      </w:r>
      <w:r w:rsidR="00047FF6" w:rsidRPr="00E82164">
        <w:rPr>
          <w:rFonts w:ascii="Times New Roman" w:hAnsi="Times New Roman" w:cs="Times New Roman"/>
          <w:sz w:val="24"/>
          <w:szCs w:val="24"/>
        </w:rPr>
        <w:t>Lively, &amp; Broyles, 2016</w:t>
      </w:r>
      <w:r w:rsidRPr="00E82164">
        <w:rPr>
          <w:rFonts w:ascii="Times New Roman" w:hAnsi="Times New Roman" w:cs="Times New Roman"/>
          <w:sz w:val="24"/>
          <w:szCs w:val="24"/>
        </w:rPr>
        <w:t xml:space="preserve">). </w:t>
      </w:r>
    </w:p>
    <w:p w:rsidR="006C15BA"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A second case is Hustler Magazine v. Falwell.citation:485 U.S. 46. The issue was whether a public figure could recover damages for intentional infliction of mental and emotional distress he suffers an outrageous parody in a pornographic oriented magazine. Chief Justice William Rehnquist made the ruling in 1988. He ruled that parodies and satire speech within the meaning of the first amendment, and no recovery is permitted unless the parody involves a false assertion of fact that the parodist knew was untrue or acted in reckless disregard for whether it was true or false.</w:t>
      </w:r>
    </w:p>
    <w:p w:rsidR="00E376C6" w:rsidRPr="00E82164" w:rsidRDefault="00344E48" w:rsidP="00E82164">
      <w:pPr>
        <w:spacing w:after="0" w:line="480" w:lineRule="auto"/>
        <w:contextualSpacing/>
        <w:jc w:val="center"/>
        <w:rPr>
          <w:rFonts w:ascii="Times New Roman" w:hAnsi="Times New Roman" w:cs="Times New Roman"/>
          <w:b/>
          <w:sz w:val="24"/>
          <w:szCs w:val="24"/>
        </w:rPr>
      </w:pPr>
      <w:r w:rsidRPr="00E82164">
        <w:rPr>
          <w:rFonts w:ascii="Times New Roman" w:hAnsi="Times New Roman" w:cs="Times New Roman"/>
          <w:b/>
          <w:sz w:val="24"/>
          <w:szCs w:val="24"/>
        </w:rPr>
        <w:t>The Bureaucracy</w:t>
      </w:r>
    </w:p>
    <w:p w:rsidR="00C31C8F"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 xml:space="preserve">Bureaucracy </w:t>
      </w:r>
    </w:p>
    <w:p w:rsidR="00D6773B"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 xml:space="preserve">Bureaucracy refers to the actual offices, </w:t>
      </w:r>
      <w:r w:rsidR="00C31C8F" w:rsidRPr="00E82164">
        <w:rPr>
          <w:rFonts w:ascii="Times New Roman" w:hAnsi="Times New Roman" w:cs="Times New Roman"/>
          <w:sz w:val="24"/>
          <w:szCs w:val="24"/>
        </w:rPr>
        <w:t>task</w:t>
      </w:r>
      <w:r w:rsidRPr="00E82164">
        <w:rPr>
          <w:rFonts w:ascii="Times New Roman" w:hAnsi="Times New Roman" w:cs="Times New Roman"/>
          <w:sz w:val="24"/>
          <w:szCs w:val="24"/>
        </w:rPr>
        <w:t xml:space="preserve">, and </w:t>
      </w:r>
      <w:r w:rsidR="00C31C8F" w:rsidRPr="00E82164">
        <w:rPr>
          <w:rFonts w:ascii="Times New Roman" w:hAnsi="Times New Roman" w:cs="Times New Roman"/>
          <w:sz w:val="24"/>
          <w:szCs w:val="24"/>
        </w:rPr>
        <w:t>principles</w:t>
      </w:r>
      <w:r w:rsidRPr="00E82164">
        <w:rPr>
          <w:rFonts w:ascii="Times New Roman" w:hAnsi="Times New Roman" w:cs="Times New Roman"/>
          <w:sz w:val="24"/>
          <w:szCs w:val="24"/>
        </w:rPr>
        <w:t xml:space="preserve"> of organization employed in the most formal and sustained administration (</w:t>
      </w:r>
      <w:r w:rsidR="00E300D8" w:rsidRPr="00E82164">
        <w:rPr>
          <w:rFonts w:ascii="Times New Roman" w:hAnsi="Times New Roman" w:cs="Times New Roman"/>
          <w:sz w:val="24"/>
          <w:szCs w:val="24"/>
        </w:rPr>
        <w:t>Lowi, Ginsberg, Shepsle, &amp; Ansolabehere, 2008</w:t>
      </w:r>
      <w:r w:rsidRPr="00E82164">
        <w:rPr>
          <w:rFonts w:ascii="Times New Roman" w:hAnsi="Times New Roman" w:cs="Times New Roman"/>
          <w:sz w:val="24"/>
          <w:szCs w:val="24"/>
        </w:rPr>
        <w:t>).</w:t>
      </w:r>
      <w:r w:rsidR="00C31C8F" w:rsidRPr="00E82164">
        <w:rPr>
          <w:rFonts w:ascii="Times New Roman" w:hAnsi="Times New Roman" w:cs="Times New Roman"/>
          <w:sz w:val="24"/>
          <w:szCs w:val="24"/>
        </w:rPr>
        <w:t xml:space="preserve"> </w:t>
      </w:r>
      <w:r w:rsidRPr="00E82164">
        <w:rPr>
          <w:rFonts w:ascii="Times New Roman" w:hAnsi="Times New Roman" w:cs="Times New Roman"/>
          <w:sz w:val="24"/>
          <w:szCs w:val="24"/>
        </w:rPr>
        <w:t>Policies passed by authoritative decision makers are interpreted and implemented by the execu</w:t>
      </w:r>
      <w:r w:rsidR="005A54F6" w:rsidRPr="00E82164">
        <w:rPr>
          <w:rFonts w:ascii="Times New Roman" w:hAnsi="Times New Roman" w:cs="Times New Roman"/>
          <w:sz w:val="24"/>
          <w:szCs w:val="24"/>
        </w:rPr>
        <w:t>tive agencies and departments</w:t>
      </w:r>
      <w:r w:rsidRPr="00E82164">
        <w:rPr>
          <w:rFonts w:ascii="Times New Roman" w:hAnsi="Times New Roman" w:cs="Times New Roman"/>
          <w:sz w:val="24"/>
          <w:szCs w:val="24"/>
        </w:rPr>
        <w:t xml:space="preserve">. The public bureaucracies have routines that make sure all the services are delivered regularly. The methods that the administration follow arises from political deals from different actors in the political arena.  </w:t>
      </w:r>
      <w:r w:rsidR="00C31C8F" w:rsidRPr="00E82164">
        <w:rPr>
          <w:rFonts w:ascii="Times New Roman" w:hAnsi="Times New Roman" w:cs="Times New Roman"/>
          <w:sz w:val="24"/>
          <w:szCs w:val="24"/>
        </w:rPr>
        <w:t xml:space="preserve">The organization managing the bureaucracy enhances efficiency in different ways. It provides labor in a hierarchy </w:t>
      </w:r>
      <w:r w:rsidR="005A54F6" w:rsidRPr="00E82164">
        <w:rPr>
          <w:rFonts w:ascii="Times New Roman" w:hAnsi="Times New Roman" w:cs="Times New Roman"/>
          <w:sz w:val="24"/>
          <w:szCs w:val="24"/>
        </w:rPr>
        <w:t>o</w:t>
      </w:r>
      <w:r w:rsidR="00C31C8F" w:rsidRPr="00E82164">
        <w:rPr>
          <w:rFonts w:ascii="Times New Roman" w:hAnsi="Times New Roman" w:cs="Times New Roman"/>
          <w:sz w:val="24"/>
          <w:szCs w:val="24"/>
        </w:rPr>
        <w:t xml:space="preserve">f division, also takes part </w:t>
      </w:r>
      <w:r w:rsidR="005A54F6" w:rsidRPr="00E82164">
        <w:rPr>
          <w:rFonts w:ascii="Times New Roman" w:hAnsi="Times New Roman" w:cs="Times New Roman"/>
          <w:sz w:val="24"/>
          <w:szCs w:val="24"/>
        </w:rPr>
        <w:t>in</w:t>
      </w:r>
      <w:r w:rsidR="00C31C8F" w:rsidRPr="00E82164">
        <w:rPr>
          <w:rFonts w:ascii="Times New Roman" w:hAnsi="Times New Roman" w:cs="Times New Roman"/>
          <w:sz w:val="24"/>
          <w:szCs w:val="24"/>
        </w:rPr>
        <w:t xml:space="preserve"> the allocation of resources and jobs, and it promotes the accumulation of expertise. Congress sees it essential to delegate several roles which can only be </w:t>
      </w:r>
      <w:r w:rsidR="00A75B20" w:rsidRPr="00E82164">
        <w:rPr>
          <w:rFonts w:ascii="Times New Roman" w:hAnsi="Times New Roman" w:cs="Times New Roman"/>
          <w:sz w:val="24"/>
          <w:szCs w:val="24"/>
        </w:rPr>
        <w:t>commissioned</w:t>
      </w:r>
      <w:r w:rsidR="00C31C8F" w:rsidRPr="00E82164">
        <w:rPr>
          <w:rFonts w:ascii="Times New Roman" w:hAnsi="Times New Roman" w:cs="Times New Roman"/>
          <w:sz w:val="24"/>
          <w:szCs w:val="24"/>
        </w:rPr>
        <w:t xml:space="preserve"> by the bureaucracy. </w:t>
      </w:r>
    </w:p>
    <w:p w:rsidR="00C31C8F"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Structure of the Executive Branch</w:t>
      </w:r>
    </w:p>
    <w:p w:rsidR="00C31C8F"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 xml:space="preserve">Cabinet departments, independent agencies, government corporations, and independent regulatory commissions are four different types of the operating part of the </w:t>
      </w:r>
      <w:r w:rsidR="00A75B20" w:rsidRPr="00E82164">
        <w:rPr>
          <w:rFonts w:ascii="Times New Roman" w:hAnsi="Times New Roman" w:cs="Times New Roman"/>
          <w:sz w:val="24"/>
          <w:szCs w:val="24"/>
        </w:rPr>
        <w:t>bureaucratic</w:t>
      </w:r>
      <w:r w:rsidRPr="00E82164">
        <w:rPr>
          <w:rFonts w:ascii="Times New Roman" w:hAnsi="Times New Roman" w:cs="Times New Roman"/>
          <w:sz w:val="24"/>
          <w:szCs w:val="24"/>
        </w:rPr>
        <w:t xml:space="preserve"> as a whole (</w:t>
      </w:r>
      <w:r w:rsidR="00E300D8" w:rsidRPr="00E82164">
        <w:rPr>
          <w:rFonts w:ascii="Times New Roman" w:hAnsi="Times New Roman" w:cs="Times New Roman"/>
          <w:sz w:val="24"/>
          <w:szCs w:val="24"/>
        </w:rPr>
        <w:t>Lowi, Ginsberg, Shepsle, &amp; Ansolabehere, 2008</w:t>
      </w:r>
      <w:r w:rsidRPr="00E82164">
        <w:rPr>
          <w:rFonts w:ascii="Times New Roman" w:hAnsi="Times New Roman" w:cs="Times New Roman"/>
          <w:sz w:val="24"/>
          <w:szCs w:val="24"/>
        </w:rPr>
        <w:t xml:space="preserve">). The </w:t>
      </w:r>
      <w:r w:rsidR="00A75B20" w:rsidRPr="00E82164">
        <w:rPr>
          <w:rFonts w:ascii="Times New Roman" w:hAnsi="Times New Roman" w:cs="Times New Roman"/>
          <w:sz w:val="24"/>
          <w:szCs w:val="24"/>
        </w:rPr>
        <w:t>departments</w:t>
      </w:r>
      <w:r w:rsidRPr="00E82164">
        <w:rPr>
          <w:rFonts w:ascii="Times New Roman" w:hAnsi="Times New Roman" w:cs="Times New Roman"/>
          <w:sz w:val="24"/>
          <w:szCs w:val="24"/>
        </w:rPr>
        <w:t xml:space="preserve"> organized </w:t>
      </w:r>
      <w:r w:rsidR="00A75B20" w:rsidRPr="00E82164">
        <w:rPr>
          <w:rFonts w:ascii="Times New Roman" w:hAnsi="Times New Roman" w:cs="Times New Roman"/>
          <w:sz w:val="24"/>
          <w:szCs w:val="24"/>
        </w:rPr>
        <w:t>in ranks</w:t>
      </w:r>
      <w:r w:rsidRPr="00E82164">
        <w:rPr>
          <w:rFonts w:ascii="Times New Roman" w:hAnsi="Times New Roman" w:cs="Times New Roman"/>
          <w:sz w:val="24"/>
          <w:szCs w:val="24"/>
        </w:rPr>
        <w:t xml:space="preserve"> where the cabinet secretary takes the top position, </w:t>
      </w:r>
      <w:r w:rsidR="00A75B20" w:rsidRPr="00E82164">
        <w:rPr>
          <w:rFonts w:ascii="Times New Roman" w:hAnsi="Times New Roman" w:cs="Times New Roman"/>
          <w:sz w:val="24"/>
          <w:szCs w:val="24"/>
        </w:rPr>
        <w:t>and then</w:t>
      </w:r>
      <w:r w:rsidRPr="00E82164">
        <w:rPr>
          <w:rFonts w:ascii="Times New Roman" w:hAnsi="Times New Roman" w:cs="Times New Roman"/>
          <w:sz w:val="24"/>
          <w:szCs w:val="24"/>
        </w:rPr>
        <w:t xml:space="preserve"> the top </w:t>
      </w:r>
      <w:r w:rsidR="00A75B20" w:rsidRPr="00E82164">
        <w:rPr>
          <w:rFonts w:ascii="Times New Roman" w:hAnsi="Times New Roman" w:cs="Times New Roman"/>
          <w:sz w:val="24"/>
          <w:szCs w:val="24"/>
        </w:rPr>
        <w:t>administrators</w:t>
      </w:r>
      <w:r w:rsidRPr="00E82164">
        <w:rPr>
          <w:rFonts w:ascii="Times New Roman" w:hAnsi="Times New Roman" w:cs="Times New Roman"/>
          <w:sz w:val="24"/>
          <w:szCs w:val="24"/>
        </w:rPr>
        <w:t xml:space="preserve"> and undersecretaries co</w:t>
      </w:r>
      <w:r w:rsidR="00A75B20" w:rsidRPr="00E82164">
        <w:rPr>
          <w:rFonts w:ascii="Times New Roman" w:hAnsi="Times New Roman" w:cs="Times New Roman"/>
          <w:sz w:val="24"/>
          <w:szCs w:val="24"/>
        </w:rPr>
        <w:t>me beneath the cabinet secretary. In the executive branch, different agencies exist. The agencies are; clientele agencies, agencies for maintenance of the union, regulatory agencies, and the agencies for redistribution.</w:t>
      </w:r>
      <w:r w:rsidR="00545834" w:rsidRPr="00E82164">
        <w:rPr>
          <w:rFonts w:ascii="Times New Roman" w:hAnsi="Times New Roman" w:cs="Times New Roman"/>
          <w:sz w:val="24"/>
          <w:szCs w:val="24"/>
        </w:rPr>
        <w:t xml:space="preserve"> </w:t>
      </w:r>
      <w:r w:rsidR="008D1AB0" w:rsidRPr="00E82164">
        <w:rPr>
          <w:rFonts w:ascii="Times New Roman" w:hAnsi="Times New Roman" w:cs="Times New Roman"/>
          <w:sz w:val="24"/>
          <w:szCs w:val="24"/>
        </w:rPr>
        <w:t>Clientele agencies that serve and represent a particular interest in society, agencies for support of the union perform in essential t functions like securing government revenue or maintaining the internal or external security. Regulatory agencies guide the conduct of an individual, and his agencies for redistribution are the ones who implement fiscal, monetary, and welfare policies.</w:t>
      </w:r>
    </w:p>
    <w:p w:rsidR="00545834"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 xml:space="preserve">Constitutional </w:t>
      </w:r>
      <w:r w:rsidR="00DB0ADE" w:rsidRPr="00E82164">
        <w:rPr>
          <w:rFonts w:ascii="Times New Roman" w:hAnsi="Times New Roman" w:cs="Times New Roman"/>
          <w:b/>
          <w:sz w:val="24"/>
          <w:szCs w:val="24"/>
        </w:rPr>
        <w:t>and</w:t>
      </w:r>
      <w:r w:rsidR="001E192F" w:rsidRPr="00E82164">
        <w:rPr>
          <w:rFonts w:ascii="Times New Roman" w:hAnsi="Times New Roman" w:cs="Times New Roman"/>
          <w:b/>
          <w:sz w:val="24"/>
          <w:szCs w:val="24"/>
        </w:rPr>
        <w:t xml:space="preserve"> Extra Constitutional Powers </w:t>
      </w:r>
      <w:r w:rsidR="00DB0ADE" w:rsidRPr="00E82164">
        <w:rPr>
          <w:rFonts w:ascii="Times New Roman" w:hAnsi="Times New Roman" w:cs="Times New Roman"/>
          <w:b/>
          <w:sz w:val="24"/>
          <w:szCs w:val="24"/>
        </w:rPr>
        <w:t>of</w:t>
      </w:r>
      <w:r w:rsidR="001E192F" w:rsidRPr="00E82164">
        <w:rPr>
          <w:rFonts w:ascii="Times New Roman" w:hAnsi="Times New Roman" w:cs="Times New Roman"/>
          <w:b/>
          <w:sz w:val="24"/>
          <w:szCs w:val="24"/>
        </w:rPr>
        <w:t xml:space="preserve"> </w:t>
      </w:r>
      <w:r w:rsidR="00DB0ADE" w:rsidRPr="00E82164">
        <w:rPr>
          <w:rFonts w:ascii="Times New Roman" w:hAnsi="Times New Roman" w:cs="Times New Roman"/>
          <w:b/>
          <w:sz w:val="24"/>
          <w:szCs w:val="24"/>
        </w:rPr>
        <w:t>the</w:t>
      </w:r>
      <w:r w:rsidR="001E192F" w:rsidRPr="00E82164">
        <w:rPr>
          <w:rFonts w:ascii="Times New Roman" w:hAnsi="Times New Roman" w:cs="Times New Roman"/>
          <w:b/>
          <w:sz w:val="24"/>
          <w:szCs w:val="24"/>
        </w:rPr>
        <w:t xml:space="preserve"> President</w:t>
      </w:r>
    </w:p>
    <w:p w:rsidR="00545834"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president's legal responsibility has multiple dimensions. The first is the textual assignment of specific virtues to the exercise of executive powers (Crocker, 2011</w:t>
      </w:r>
      <w:r w:rsidR="005A54F6" w:rsidRPr="00E82164">
        <w:rPr>
          <w:rFonts w:ascii="Times New Roman" w:hAnsi="Times New Roman" w:cs="Times New Roman"/>
          <w:sz w:val="24"/>
          <w:szCs w:val="24"/>
        </w:rPr>
        <w:t xml:space="preserve">). </w:t>
      </w:r>
      <w:r w:rsidRPr="00E82164">
        <w:rPr>
          <w:rFonts w:ascii="Times New Roman" w:hAnsi="Times New Roman" w:cs="Times New Roman"/>
          <w:sz w:val="24"/>
          <w:szCs w:val="24"/>
        </w:rPr>
        <w:t xml:space="preserve"> </w:t>
      </w:r>
      <w:r w:rsidR="005A54F6" w:rsidRPr="00E82164">
        <w:rPr>
          <w:rFonts w:ascii="Times New Roman" w:hAnsi="Times New Roman" w:cs="Times New Roman"/>
          <w:sz w:val="24"/>
          <w:szCs w:val="24"/>
        </w:rPr>
        <w:t xml:space="preserve">There are three main types of presidential </w:t>
      </w:r>
      <w:r w:rsidR="000B7A09" w:rsidRPr="00E82164">
        <w:rPr>
          <w:rFonts w:ascii="Times New Roman" w:hAnsi="Times New Roman" w:cs="Times New Roman"/>
          <w:sz w:val="24"/>
          <w:szCs w:val="24"/>
        </w:rPr>
        <w:t>constitutional</w:t>
      </w:r>
      <w:r w:rsidR="005A54F6" w:rsidRPr="00E82164">
        <w:rPr>
          <w:rFonts w:ascii="Times New Roman" w:hAnsi="Times New Roman" w:cs="Times New Roman"/>
          <w:sz w:val="24"/>
          <w:szCs w:val="24"/>
        </w:rPr>
        <w:t xml:space="preserve"> powers which are; expressed powers, delegated powers, and inherent powers. The expressed powers are those that the president is granted in Article II, Sections 2 and section 3 in the constitution. The delegated powers are the ones that </w:t>
      </w:r>
      <w:r w:rsidR="000B7A09" w:rsidRPr="00E82164">
        <w:rPr>
          <w:rFonts w:ascii="Times New Roman" w:hAnsi="Times New Roman" w:cs="Times New Roman"/>
          <w:sz w:val="24"/>
          <w:szCs w:val="24"/>
        </w:rPr>
        <w:t>entail</w:t>
      </w:r>
      <w:r w:rsidR="005A54F6" w:rsidRPr="00E82164">
        <w:rPr>
          <w:rFonts w:ascii="Times New Roman" w:hAnsi="Times New Roman" w:cs="Times New Roman"/>
          <w:sz w:val="24"/>
          <w:szCs w:val="24"/>
        </w:rPr>
        <w:t xml:space="preserve"> </w:t>
      </w:r>
      <w:r w:rsidR="000B7A09" w:rsidRPr="00E82164">
        <w:rPr>
          <w:rFonts w:ascii="Times New Roman" w:hAnsi="Times New Roman" w:cs="Times New Roman"/>
          <w:sz w:val="24"/>
          <w:szCs w:val="24"/>
        </w:rPr>
        <w:t>critical and high capacity sources of strength for the president. The inherent powers are the ones the presidents state that they are not expressed in the constitution, but they are deduced from the law. These powers are declared during the times of emergency or war.</w:t>
      </w:r>
    </w:p>
    <w:p w:rsidR="003E5423"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The extra</w:t>
      </w:r>
      <w:r w:rsidR="006C15BA" w:rsidRPr="00E82164">
        <w:rPr>
          <w:rFonts w:ascii="Times New Roman" w:hAnsi="Times New Roman" w:cs="Times New Roman"/>
          <w:sz w:val="24"/>
          <w:szCs w:val="24"/>
        </w:rPr>
        <w:t>-constitutional</w:t>
      </w:r>
      <w:r w:rsidRPr="00E82164">
        <w:rPr>
          <w:rFonts w:ascii="Times New Roman" w:hAnsi="Times New Roman" w:cs="Times New Roman"/>
          <w:sz w:val="24"/>
          <w:szCs w:val="24"/>
        </w:rPr>
        <w:t xml:space="preserve"> powers which are expressed by the </w:t>
      </w:r>
      <w:r w:rsidR="006C15BA" w:rsidRPr="00E82164">
        <w:rPr>
          <w:rFonts w:ascii="Times New Roman" w:hAnsi="Times New Roman" w:cs="Times New Roman"/>
          <w:sz w:val="24"/>
          <w:szCs w:val="24"/>
        </w:rPr>
        <w:t>president</w:t>
      </w:r>
      <w:r w:rsidRPr="00E82164">
        <w:rPr>
          <w:rFonts w:ascii="Times New Roman" w:hAnsi="Times New Roman" w:cs="Times New Roman"/>
          <w:sz w:val="24"/>
          <w:szCs w:val="24"/>
        </w:rPr>
        <w:t xml:space="preserve"> are defined in </w:t>
      </w:r>
      <w:r w:rsidR="006C15BA" w:rsidRPr="00E82164">
        <w:rPr>
          <w:rFonts w:ascii="Times New Roman" w:hAnsi="Times New Roman" w:cs="Times New Roman"/>
          <w:sz w:val="24"/>
          <w:szCs w:val="24"/>
        </w:rPr>
        <w:t>article</w:t>
      </w:r>
      <w:r w:rsidRPr="00E82164">
        <w:rPr>
          <w:rFonts w:ascii="Times New Roman" w:hAnsi="Times New Roman" w:cs="Times New Roman"/>
          <w:sz w:val="24"/>
          <w:szCs w:val="24"/>
        </w:rPr>
        <w:t xml:space="preserve"> III. These powers are the military power, judicial, diplomatic, executive, and legislative power </w:t>
      </w:r>
      <w:r w:rsidR="006C15BA" w:rsidRPr="00E82164">
        <w:rPr>
          <w:rFonts w:ascii="Times New Roman" w:hAnsi="Times New Roman" w:cs="Times New Roman"/>
          <w:sz w:val="24"/>
          <w:szCs w:val="24"/>
        </w:rPr>
        <w:t>as president has military capabilities that help him or her to guard the security and agencies of intelligence of the nation. When the president grants amnesty, pardons or retrieval that is when the judicial powers are executed. In the execution power of the presidency, the president has to make sure that all the laws are executed faithfully. In the legislative powers, the president can take part in the legal process.</w:t>
      </w:r>
    </w:p>
    <w:p w:rsidR="00B9082E" w:rsidRPr="00E82164" w:rsidRDefault="00344E48" w:rsidP="00E82164">
      <w:pPr>
        <w:spacing w:after="0" w:line="480" w:lineRule="auto"/>
        <w:contextualSpacing/>
        <w:rPr>
          <w:rFonts w:ascii="Times New Roman" w:hAnsi="Times New Roman" w:cs="Times New Roman"/>
          <w:b/>
          <w:sz w:val="24"/>
          <w:szCs w:val="24"/>
        </w:rPr>
      </w:pPr>
      <w:r w:rsidRPr="00E82164">
        <w:rPr>
          <w:rFonts w:ascii="Times New Roman" w:hAnsi="Times New Roman" w:cs="Times New Roman"/>
          <w:b/>
          <w:sz w:val="24"/>
          <w:szCs w:val="24"/>
        </w:rPr>
        <w:t xml:space="preserve">The </w:t>
      </w:r>
      <w:r w:rsidR="00542D95" w:rsidRPr="00E82164">
        <w:rPr>
          <w:rFonts w:ascii="Times New Roman" w:hAnsi="Times New Roman" w:cs="Times New Roman"/>
          <w:b/>
          <w:sz w:val="24"/>
          <w:szCs w:val="24"/>
        </w:rPr>
        <w:t xml:space="preserve">Problem Of Modernity In The Bureaucracy </w:t>
      </w:r>
    </w:p>
    <w:p w:rsidR="00B9082E" w:rsidRPr="00E82164" w:rsidRDefault="00344E48" w:rsidP="00E82164">
      <w:pPr>
        <w:spacing w:after="0" w:line="480" w:lineRule="auto"/>
        <w:ind w:firstLine="720"/>
        <w:contextualSpacing/>
        <w:rPr>
          <w:rFonts w:ascii="Times New Roman" w:hAnsi="Times New Roman" w:cs="Times New Roman"/>
          <w:sz w:val="24"/>
          <w:szCs w:val="24"/>
        </w:rPr>
      </w:pPr>
      <w:r w:rsidRPr="00E82164">
        <w:rPr>
          <w:rFonts w:ascii="Times New Roman" w:hAnsi="Times New Roman" w:cs="Times New Roman"/>
          <w:sz w:val="24"/>
          <w:szCs w:val="24"/>
        </w:rPr>
        <w:t xml:space="preserve"> To some individual they consider a modern society to be one that has become urban and industrial while to others a system cannot be advanced unless it has achieved a high degree of political pluralism. The confusion induced by the shifting content of concepts like modernization and development is compounded by what appears to be an underlying culture-bound and determinist</w:t>
      </w:r>
      <w:r w:rsidR="00542D95" w:rsidRPr="00E82164">
        <w:rPr>
          <w:rFonts w:ascii="Times New Roman" w:hAnsi="Times New Roman" w:cs="Times New Roman"/>
          <w:sz w:val="24"/>
          <w:szCs w:val="24"/>
        </w:rPr>
        <w:t>ic nonlinear theory of change.</w:t>
      </w:r>
      <w:r w:rsidRPr="00E82164">
        <w:rPr>
          <w:rFonts w:ascii="Times New Roman" w:hAnsi="Times New Roman" w:cs="Times New Roman"/>
          <w:sz w:val="24"/>
          <w:szCs w:val="24"/>
        </w:rPr>
        <w:t xml:space="preserve"> Thus the role of bureaucracy in effecting socio-economic, political change is said to require as central tendencies, such as Weberian attributes in public administration as a hierarchy, responsibility, rationality, achievement orientation, specialization and differentiation, discipline, professionalization (La Palombara, 2015).</w:t>
      </w:r>
    </w:p>
    <w:p w:rsidR="00CD1C33" w:rsidRDefault="00CD1C33" w:rsidP="00CD1C33">
      <w:pPr>
        <w:spacing w:after="0" w:line="480" w:lineRule="auto"/>
        <w:jc w:val="center"/>
        <w:rPr>
          <w:rFonts w:ascii="Times New Roman" w:hAnsi="Times New Roman" w:cs="Times New Roman"/>
          <w:sz w:val="24"/>
          <w:szCs w:val="24"/>
        </w:rPr>
      </w:pPr>
    </w:p>
    <w:p w:rsidR="0098064D" w:rsidRPr="00542D95" w:rsidRDefault="00344E48" w:rsidP="00CD1C33">
      <w:pPr>
        <w:spacing w:after="0" w:line="480" w:lineRule="auto"/>
        <w:contextualSpacing/>
        <w:jc w:val="center"/>
        <w:rPr>
          <w:rFonts w:ascii="Times New Roman" w:hAnsi="Times New Roman" w:cs="Times New Roman"/>
          <w:sz w:val="24"/>
          <w:szCs w:val="24"/>
        </w:rPr>
      </w:pPr>
      <w:r w:rsidRPr="00542D95">
        <w:rPr>
          <w:rFonts w:ascii="Times New Roman" w:hAnsi="Times New Roman" w:cs="Times New Roman"/>
          <w:sz w:val="24"/>
          <w:szCs w:val="24"/>
        </w:rPr>
        <w:t>References</w:t>
      </w:r>
    </w:p>
    <w:p w:rsidR="001E192F"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Burton, O. V. (2018). The Creation and Destruction of the Fourteenth Amendment During the Long Civil War. </w:t>
      </w:r>
      <w:r w:rsidRPr="00542D95">
        <w:rPr>
          <w:rFonts w:ascii="Times New Roman" w:hAnsi="Times New Roman" w:cs="Times New Roman"/>
          <w:i/>
          <w:iCs/>
          <w:color w:val="222222"/>
          <w:sz w:val="24"/>
          <w:szCs w:val="24"/>
          <w:shd w:val="clear" w:color="auto" w:fill="FFFFFF"/>
        </w:rPr>
        <w:t>La. L. Rev.</w:t>
      </w:r>
      <w:r w:rsidRPr="00542D95">
        <w:rPr>
          <w:rFonts w:ascii="Times New Roman" w:hAnsi="Times New Roman" w:cs="Times New Roman"/>
          <w:color w:val="222222"/>
          <w:sz w:val="24"/>
          <w:szCs w:val="24"/>
          <w:shd w:val="clear" w:color="auto" w:fill="FFFFFF"/>
        </w:rPr>
        <w:t>, </w:t>
      </w:r>
      <w:r w:rsidRPr="00542D95">
        <w:rPr>
          <w:rFonts w:ascii="Times New Roman" w:hAnsi="Times New Roman" w:cs="Times New Roman"/>
          <w:i/>
          <w:iCs/>
          <w:color w:val="222222"/>
          <w:sz w:val="24"/>
          <w:szCs w:val="24"/>
          <w:shd w:val="clear" w:color="auto" w:fill="FFFFFF"/>
        </w:rPr>
        <w:t>79</w:t>
      </w:r>
      <w:r w:rsidRPr="00542D95">
        <w:rPr>
          <w:rFonts w:ascii="Times New Roman" w:hAnsi="Times New Roman" w:cs="Times New Roman"/>
          <w:color w:val="222222"/>
          <w:sz w:val="24"/>
          <w:szCs w:val="24"/>
          <w:shd w:val="clear" w:color="auto" w:fill="FFFFFF"/>
        </w:rPr>
        <w:t>, 189.</w:t>
      </w:r>
    </w:p>
    <w:p w:rsidR="001E192F"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Crocker, T. P. (2011). Presidential Power and Constitutional Responsibility. </w:t>
      </w:r>
      <w:r w:rsidRPr="00542D95">
        <w:rPr>
          <w:rFonts w:ascii="Times New Roman" w:hAnsi="Times New Roman" w:cs="Times New Roman"/>
          <w:i/>
          <w:iCs/>
          <w:color w:val="222222"/>
          <w:sz w:val="24"/>
          <w:szCs w:val="24"/>
          <w:shd w:val="clear" w:color="auto" w:fill="FFFFFF"/>
        </w:rPr>
        <w:t>BCL Rev.</w:t>
      </w:r>
      <w:r w:rsidRPr="00542D95">
        <w:rPr>
          <w:rFonts w:ascii="Times New Roman" w:hAnsi="Times New Roman" w:cs="Times New Roman"/>
          <w:color w:val="222222"/>
          <w:sz w:val="24"/>
          <w:szCs w:val="24"/>
          <w:shd w:val="clear" w:color="auto" w:fill="FFFFFF"/>
        </w:rPr>
        <w:t>, </w:t>
      </w:r>
      <w:r w:rsidRPr="00542D95">
        <w:rPr>
          <w:rFonts w:ascii="Times New Roman" w:hAnsi="Times New Roman" w:cs="Times New Roman"/>
          <w:i/>
          <w:iCs/>
          <w:color w:val="222222"/>
          <w:sz w:val="24"/>
          <w:szCs w:val="24"/>
          <w:shd w:val="clear" w:color="auto" w:fill="FFFFFF"/>
        </w:rPr>
        <w:t>52</w:t>
      </w:r>
      <w:r w:rsidRPr="00542D95">
        <w:rPr>
          <w:rFonts w:ascii="Times New Roman" w:hAnsi="Times New Roman" w:cs="Times New Roman"/>
          <w:color w:val="222222"/>
          <w:sz w:val="24"/>
          <w:szCs w:val="24"/>
          <w:shd w:val="clear" w:color="auto" w:fill="FFFFFF"/>
        </w:rPr>
        <w:t>, 1551.</w:t>
      </w:r>
    </w:p>
    <w:p w:rsidR="001E192F"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Jones, D. E. (2016). The Unknown Legacy of the 13th Amendment.</w:t>
      </w:r>
    </w:p>
    <w:p w:rsidR="00DB0ADE"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Konvitz, M. (2017). </w:t>
      </w:r>
      <w:r w:rsidRPr="00542D95">
        <w:rPr>
          <w:rFonts w:ascii="Times New Roman" w:hAnsi="Times New Roman" w:cs="Times New Roman"/>
          <w:i/>
          <w:iCs/>
          <w:color w:val="222222"/>
          <w:sz w:val="24"/>
          <w:szCs w:val="24"/>
          <w:shd w:val="clear" w:color="auto" w:fill="FFFFFF"/>
        </w:rPr>
        <w:t>Fundamental Rights: history of constitutional doctrine</w:t>
      </w:r>
      <w:r w:rsidRPr="00542D95">
        <w:rPr>
          <w:rFonts w:ascii="Times New Roman" w:hAnsi="Times New Roman" w:cs="Times New Roman"/>
          <w:color w:val="222222"/>
          <w:sz w:val="24"/>
          <w:szCs w:val="24"/>
          <w:shd w:val="clear" w:color="auto" w:fill="FFFFFF"/>
        </w:rPr>
        <w:t>. Routledge.</w:t>
      </w:r>
    </w:p>
    <w:p w:rsidR="00DB0ADE"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Lively, D. E., &amp; Broyles, D. S. (2016). </w:t>
      </w:r>
      <w:r w:rsidRPr="00542D95">
        <w:rPr>
          <w:rFonts w:ascii="Times New Roman" w:hAnsi="Times New Roman" w:cs="Times New Roman"/>
          <w:i/>
          <w:iCs/>
          <w:color w:val="222222"/>
          <w:sz w:val="24"/>
          <w:szCs w:val="24"/>
          <w:shd w:val="clear" w:color="auto" w:fill="FFFFFF"/>
        </w:rPr>
        <w:t>Contemporary Supreme Court Cases: Landmark Decisions since Roe v. Wade, [2 volumes]: Landmark Decisions since Roe v. Wade</w:t>
      </w:r>
      <w:r w:rsidRPr="00542D95">
        <w:rPr>
          <w:rFonts w:ascii="Times New Roman" w:hAnsi="Times New Roman" w:cs="Times New Roman"/>
          <w:color w:val="222222"/>
          <w:sz w:val="24"/>
          <w:szCs w:val="24"/>
          <w:shd w:val="clear" w:color="auto" w:fill="FFFFFF"/>
        </w:rPr>
        <w:t>. ABC-CLIO.</w:t>
      </w:r>
    </w:p>
    <w:p w:rsidR="00631169"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La Palombara, J. (Ed.). (2015). </w:t>
      </w:r>
      <w:r w:rsidRPr="00542D95">
        <w:rPr>
          <w:rFonts w:ascii="Times New Roman" w:hAnsi="Times New Roman" w:cs="Times New Roman"/>
          <w:i/>
          <w:iCs/>
          <w:color w:val="222222"/>
          <w:sz w:val="24"/>
          <w:szCs w:val="24"/>
          <w:shd w:val="clear" w:color="auto" w:fill="FFFFFF"/>
        </w:rPr>
        <w:t>Bureaucracy and Political Development.(SPD-2)</w:t>
      </w:r>
      <w:r w:rsidRPr="00542D95">
        <w:rPr>
          <w:rFonts w:ascii="Times New Roman" w:hAnsi="Times New Roman" w:cs="Times New Roman"/>
          <w:color w:val="222222"/>
          <w:sz w:val="24"/>
          <w:szCs w:val="24"/>
          <w:shd w:val="clear" w:color="auto" w:fill="FFFFFF"/>
        </w:rPr>
        <w:t> (Vol. 2). Princeton University Press.</w:t>
      </w:r>
    </w:p>
    <w:p w:rsidR="00DB0ADE"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Lowi, T. J., Ginsberg, B., Shepsle, K. A., &amp; Ansolabehere, S. (2017). </w:t>
      </w:r>
      <w:r w:rsidRPr="00542D95">
        <w:rPr>
          <w:rFonts w:ascii="Times New Roman" w:hAnsi="Times New Roman" w:cs="Times New Roman"/>
          <w:i/>
          <w:iCs/>
          <w:color w:val="222222"/>
          <w:sz w:val="24"/>
          <w:szCs w:val="24"/>
          <w:shd w:val="clear" w:color="auto" w:fill="FFFFFF"/>
        </w:rPr>
        <w:t>American Government: Power and purpose</w:t>
      </w:r>
      <w:r w:rsidRPr="00542D95">
        <w:rPr>
          <w:rFonts w:ascii="Times New Roman" w:hAnsi="Times New Roman" w:cs="Times New Roman"/>
          <w:color w:val="222222"/>
          <w:sz w:val="24"/>
          <w:szCs w:val="24"/>
          <w:shd w:val="clear" w:color="auto" w:fill="FFFFFF"/>
        </w:rPr>
        <w:t>. WW Norton.</w:t>
      </w:r>
    </w:p>
    <w:p w:rsidR="00DB0ADE"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Maltz, E. (2019). The Coming of the Fifteenth Amendment: the Republican Party and the Right to Vote in the Early Recon</w:t>
      </w:r>
      <w:bookmarkStart w:id="0" w:name="_GoBack"/>
      <w:bookmarkEnd w:id="0"/>
      <w:r w:rsidRPr="00542D95">
        <w:rPr>
          <w:rFonts w:ascii="Times New Roman" w:hAnsi="Times New Roman" w:cs="Times New Roman"/>
          <w:color w:val="222222"/>
          <w:sz w:val="24"/>
          <w:szCs w:val="24"/>
          <w:shd w:val="clear" w:color="auto" w:fill="FFFFFF"/>
        </w:rPr>
        <w:t>struction Era. </w:t>
      </w:r>
      <w:r w:rsidRPr="00542D95">
        <w:rPr>
          <w:rFonts w:ascii="Times New Roman" w:hAnsi="Times New Roman" w:cs="Times New Roman"/>
          <w:i/>
          <w:iCs/>
          <w:color w:val="222222"/>
          <w:sz w:val="24"/>
          <w:szCs w:val="24"/>
          <w:shd w:val="clear" w:color="auto" w:fill="FFFFFF"/>
        </w:rPr>
        <w:t>Available at SSRN 3317813</w:t>
      </w:r>
      <w:r w:rsidRPr="00542D95">
        <w:rPr>
          <w:rFonts w:ascii="Times New Roman" w:hAnsi="Times New Roman" w:cs="Times New Roman"/>
          <w:color w:val="222222"/>
          <w:sz w:val="24"/>
          <w:szCs w:val="24"/>
          <w:shd w:val="clear" w:color="auto" w:fill="FFFFFF"/>
        </w:rPr>
        <w:t>.</w:t>
      </w:r>
    </w:p>
    <w:p w:rsidR="00DB0ADE" w:rsidRPr="00542D95" w:rsidRDefault="00344E48" w:rsidP="00E82164">
      <w:pPr>
        <w:spacing w:after="0" w:line="480" w:lineRule="auto"/>
        <w:ind w:left="720" w:hanging="720"/>
        <w:contextualSpacing/>
        <w:rPr>
          <w:rFonts w:ascii="Times New Roman" w:hAnsi="Times New Roman" w:cs="Times New Roman"/>
          <w:color w:val="222222"/>
          <w:sz w:val="24"/>
          <w:szCs w:val="24"/>
          <w:shd w:val="clear" w:color="auto" w:fill="FFFFFF"/>
        </w:rPr>
      </w:pPr>
      <w:r w:rsidRPr="00542D95">
        <w:rPr>
          <w:rFonts w:ascii="Times New Roman" w:hAnsi="Times New Roman" w:cs="Times New Roman"/>
          <w:color w:val="222222"/>
          <w:sz w:val="24"/>
          <w:szCs w:val="24"/>
          <w:shd w:val="clear" w:color="auto" w:fill="FFFFFF"/>
        </w:rPr>
        <w:t>Wilson, W. (2017). </w:t>
      </w:r>
      <w:r w:rsidRPr="00542D95">
        <w:rPr>
          <w:rFonts w:ascii="Times New Roman" w:hAnsi="Times New Roman" w:cs="Times New Roman"/>
          <w:i/>
          <w:iCs/>
          <w:color w:val="222222"/>
          <w:sz w:val="24"/>
          <w:szCs w:val="24"/>
          <w:shd w:val="clear" w:color="auto" w:fill="FFFFFF"/>
        </w:rPr>
        <w:t>Constitutional government in the United States</w:t>
      </w:r>
      <w:r w:rsidRPr="00542D95">
        <w:rPr>
          <w:rFonts w:ascii="Times New Roman" w:hAnsi="Times New Roman" w:cs="Times New Roman"/>
          <w:color w:val="222222"/>
          <w:sz w:val="24"/>
          <w:szCs w:val="24"/>
          <w:shd w:val="clear" w:color="auto" w:fill="FFFFFF"/>
        </w:rPr>
        <w:t>. Routledge.</w:t>
      </w:r>
    </w:p>
    <w:p w:rsidR="00876A8F" w:rsidRPr="00542D95" w:rsidRDefault="00344E48" w:rsidP="00542D95">
      <w:pPr>
        <w:tabs>
          <w:tab w:val="left" w:pos="6720"/>
        </w:tabs>
        <w:spacing w:after="0" w:line="480" w:lineRule="auto"/>
        <w:contextualSpacing/>
        <w:rPr>
          <w:rFonts w:ascii="Times New Roman" w:hAnsi="Times New Roman" w:cs="Times New Roman"/>
          <w:sz w:val="24"/>
          <w:szCs w:val="24"/>
        </w:rPr>
      </w:pPr>
      <w:r w:rsidRPr="00542D95">
        <w:rPr>
          <w:rFonts w:ascii="Times New Roman" w:hAnsi="Times New Roman" w:cs="Times New Roman"/>
          <w:sz w:val="24"/>
          <w:szCs w:val="24"/>
        </w:rPr>
        <w:tab/>
      </w:r>
    </w:p>
    <w:p w:rsidR="001E192F" w:rsidRPr="00542D95" w:rsidRDefault="001E192F" w:rsidP="00542D95">
      <w:pPr>
        <w:tabs>
          <w:tab w:val="left" w:pos="6720"/>
        </w:tabs>
        <w:spacing w:after="0" w:line="480" w:lineRule="auto"/>
        <w:rPr>
          <w:rFonts w:ascii="Times New Roman" w:hAnsi="Times New Roman" w:cs="Times New Roman"/>
          <w:sz w:val="24"/>
          <w:szCs w:val="24"/>
        </w:rPr>
      </w:pPr>
    </w:p>
    <w:p w:rsidR="00876A8F" w:rsidRPr="00542D95" w:rsidRDefault="00876A8F" w:rsidP="00542D95">
      <w:pPr>
        <w:spacing w:after="0" w:line="480" w:lineRule="auto"/>
        <w:rPr>
          <w:rFonts w:ascii="Times New Roman" w:hAnsi="Times New Roman" w:cs="Times New Roman"/>
          <w:sz w:val="24"/>
          <w:szCs w:val="24"/>
        </w:rPr>
      </w:pPr>
    </w:p>
    <w:p w:rsidR="00876A8F" w:rsidRPr="00542D95" w:rsidRDefault="00344E48" w:rsidP="00542D95">
      <w:pPr>
        <w:tabs>
          <w:tab w:val="left" w:pos="4110"/>
        </w:tabs>
        <w:spacing w:after="0" w:line="480" w:lineRule="auto"/>
        <w:ind w:firstLine="720"/>
        <w:rPr>
          <w:rFonts w:ascii="Times New Roman" w:hAnsi="Times New Roman" w:cs="Times New Roman"/>
          <w:sz w:val="24"/>
          <w:szCs w:val="24"/>
        </w:rPr>
      </w:pPr>
      <w:r w:rsidRPr="00542D95">
        <w:rPr>
          <w:rFonts w:ascii="Times New Roman" w:hAnsi="Times New Roman" w:cs="Times New Roman"/>
          <w:sz w:val="24"/>
          <w:szCs w:val="24"/>
        </w:rPr>
        <w:tab/>
      </w:r>
    </w:p>
    <w:p w:rsidR="00E82164" w:rsidRPr="00542D95" w:rsidRDefault="00E82164">
      <w:pPr>
        <w:tabs>
          <w:tab w:val="left" w:pos="4110"/>
        </w:tabs>
        <w:spacing w:after="0" w:line="480" w:lineRule="auto"/>
        <w:ind w:firstLine="720"/>
        <w:rPr>
          <w:rFonts w:ascii="Times New Roman" w:hAnsi="Times New Roman" w:cs="Times New Roman"/>
          <w:sz w:val="24"/>
          <w:szCs w:val="24"/>
        </w:rPr>
      </w:pPr>
    </w:p>
    <w:sectPr w:rsidR="00E82164" w:rsidRPr="00542D95" w:rsidSect="00E821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199" w:rsidRDefault="000E7199">
      <w:pPr>
        <w:spacing w:after="0" w:line="240" w:lineRule="auto"/>
      </w:pPr>
      <w:r>
        <w:separator/>
      </w:r>
    </w:p>
  </w:endnote>
  <w:endnote w:type="continuationSeparator" w:id="0">
    <w:p w:rsidR="000E7199" w:rsidRDefault="000E7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199" w:rsidRDefault="000E7199">
      <w:pPr>
        <w:spacing w:after="0" w:line="240" w:lineRule="auto"/>
      </w:pPr>
      <w:r>
        <w:separator/>
      </w:r>
    </w:p>
  </w:footnote>
  <w:footnote w:type="continuationSeparator" w:id="0">
    <w:p w:rsidR="000E7199" w:rsidRDefault="000E7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6C6" w:rsidRPr="00E82164" w:rsidRDefault="00E82164" w:rsidP="00E82164">
    <w:pPr>
      <w:tabs>
        <w:tab w:val="left" w:pos="9675"/>
        <w:tab w:val="left" w:pos="103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CIVIL RIGHTS </w:t>
    </w:r>
    <w:r w:rsidRPr="00CD1C33">
      <w:rPr>
        <w:rFonts w:ascii="Times New Roman" w:hAnsi="Times New Roman" w:cs="Times New Roman"/>
        <w:sz w:val="24"/>
        <w:szCs w:val="24"/>
      </w:rPr>
      <w:t>AND THE BUREAUCRACY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6C6" w:rsidRPr="00E376C6" w:rsidRDefault="00E82164" w:rsidP="00E82164">
    <w:pPr>
      <w:pStyle w:val="Header"/>
      <w:tabs>
        <w:tab w:val="clear" w:pos="9360"/>
        <w:tab w:val="left" w:pos="10298"/>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CIVIL RIGHTS </w:t>
    </w:r>
    <w:r w:rsidR="00CD1C33" w:rsidRPr="00CD1C33">
      <w:rPr>
        <w:rFonts w:ascii="Times New Roman" w:hAnsi="Times New Roman" w:cs="Times New Roman"/>
        <w:sz w:val="24"/>
        <w:szCs w:val="24"/>
      </w:rPr>
      <w:t>AND THE BUREAUCRACY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0E7199">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13570D"/>
    <w:multiLevelType w:val="hybridMultilevel"/>
    <w:tmpl w:val="8AB610D0"/>
    <w:lvl w:ilvl="0" w:tplc="9C04DB38">
      <w:start w:val="1"/>
      <w:numFmt w:val="decimal"/>
      <w:lvlText w:val="%1."/>
      <w:lvlJc w:val="left"/>
      <w:pPr>
        <w:ind w:left="1440" w:hanging="360"/>
      </w:pPr>
    </w:lvl>
    <w:lvl w:ilvl="1" w:tplc="7B142E4E" w:tentative="1">
      <w:start w:val="1"/>
      <w:numFmt w:val="lowerLetter"/>
      <w:lvlText w:val="%2."/>
      <w:lvlJc w:val="left"/>
      <w:pPr>
        <w:ind w:left="2160" w:hanging="360"/>
      </w:pPr>
    </w:lvl>
    <w:lvl w:ilvl="2" w:tplc="CE4E164C" w:tentative="1">
      <w:start w:val="1"/>
      <w:numFmt w:val="lowerRoman"/>
      <w:lvlText w:val="%3."/>
      <w:lvlJc w:val="right"/>
      <w:pPr>
        <w:ind w:left="2880" w:hanging="180"/>
      </w:pPr>
    </w:lvl>
    <w:lvl w:ilvl="3" w:tplc="CC822F4A" w:tentative="1">
      <w:start w:val="1"/>
      <w:numFmt w:val="decimal"/>
      <w:lvlText w:val="%4."/>
      <w:lvlJc w:val="left"/>
      <w:pPr>
        <w:ind w:left="3600" w:hanging="360"/>
      </w:pPr>
    </w:lvl>
    <w:lvl w:ilvl="4" w:tplc="AD4AA226" w:tentative="1">
      <w:start w:val="1"/>
      <w:numFmt w:val="lowerLetter"/>
      <w:lvlText w:val="%5."/>
      <w:lvlJc w:val="left"/>
      <w:pPr>
        <w:ind w:left="4320" w:hanging="360"/>
      </w:pPr>
    </w:lvl>
    <w:lvl w:ilvl="5" w:tplc="F9365292" w:tentative="1">
      <w:start w:val="1"/>
      <w:numFmt w:val="lowerRoman"/>
      <w:lvlText w:val="%6."/>
      <w:lvlJc w:val="right"/>
      <w:pPr>
        <w:ind w:left="5040" w:hanging="180"/>
      </w:pPr>
    </w:lvl>
    <w:lvl w:ilvl="6" w:tplc="0234EA5E" w:tentative="1">
      <w:start w:val="1"/>
      <w:numFmt w:val="decimal"/>
      <w:lvlText w:val="%7."/>
      <w:lvlJc w:val="left"/>
      <w:pPr>
        <w:ind w:left="5760" w:hanging="360"/>
      </w:pPr>
    </w:lvl>
    <w:lvl w:ilvl="7" w:tplc="A55064E4" w:tentative="1">
      <w:start w:val="1"/>
      <w:numFmt w:val="lowerLetter"/>
      <w:lvlText w:val="%8."/>
      <w:lvlJc w:val="left"/>
      <w:pPr>
        <w:ind w:left="6480" w:hanging="360"/>
      </w:pPr>
    </w:lvl>
    <w:lvl w:ilvl="8" w:tplc="D83E414A" w:tentative="1">
      <w:start w:val="1"/>
      <w:numFmt w:val="lowerRoman"/>
      <w:lvlText w:val="%9."/>
      <w:lvlJc w:val="right"/>
      <w:pPr>
        <w:ind w:left="7200" w:hanging="180"/>
      </w:pPr>
    </w:lvl>
  </w:abstractNum>
  <w:abstractNum w:abstractNumId="1">
    <w:nsid w:val="7B5E15ED"/>
    <w:multiLevelType w:val="hybridMultilevel"/>
    <w:tmpl w:val="CD98E270"/>
    <w:lvl w:ilvl="0" w:tplc="25A22330">
      <w:start w:val="1"/>
      <w:numFmt w:val="bullet"/>
      <w:lvlText w:val=""/>
      <w:lvlJc w:val="left"/>
      <w:pPr>
        <w:ind w:left="1440" w:hanging="360"/>
      </w:pPr>
      <w:rPr>
        <w:rFonts w:ascii="Symbol" w:hAnsi="Symbol" w:hint="default"/>
      </w:rPr>
    </w:lvl>
    <w:lvl w:ilvl="1" w:tplc="3200A6FC" w:tentative="1">
      <w:start w:val="1"/>
      <w:numFmt w:val="bullet"/>
      <w:lvlText w:val="o"/>
      <w:lvlJc w:val="left"/>
      <w:pPr>
        <w:ind w:left="2160" w:hanging="360"/>
      </w:pPr>
      <w:rPr>
        <w:rFonts w:ascii="Courier New" w:hAnsi="Courier New" w:cs="Courier New" w:hint="default"/>
      </w:rPr>
    </w:lvl>
    <w:lvl w:ilvl="2" w:tplc="C204B7B4" w:tentative="1">
      <w:start w:val="1"/>
      <w:numFmt w:val="bullet"/>
      <w:lvlText w:val=""/>
      <w:lvlJc w:val="left"/>
      <w:pPr>
        <w:ind w:left="2880" w:hanging="360"/>
      </w:pPr>
      <w:rPr>
        <w:rFonts w:ascii="Wingdings" w:hAnsi="Wingdings" w:hint="default"/>
      </w:rPr>
    </w:lvl>
    <w:lvl w:ilvl="3" w:tplc="EFA8A920" w:tentative="1">
      <w:start w:val="1"/>
      <w:numFmt w:val="bullet"/>
      <w:lvlText w:val=""/>
      <w:lvlJc w:val="left"/>
      <w:pPr>
        <w:ind w:left="3600" w:hanging="360"/>
      </w:pPr>
      <w:rPr>
        <w:rFonts w:ascii="Symbol" w:hAnsi="Symbol" w:hint="default"/>
      </w:rPr>
    </w:lvl>
    <w:lvl w:ilvl="4" w:tplc="99B2EE04" w:tentative="1">
      <w:start w:val="1"/>
      <w:numFmt w:val="bullet"/>
      <w:lvlText w:val="o"/>
      <w:lvlJc w:val="left"/>
      <w:pPr>
        <w:ind w:left="4320" w:hanging="360"/>
      </w:pPr>
      <w:rPr>
        <w:rFonts w:ascii="Courier New" w:hAnsi="Courier New" w:cs="Courier New" w:hint="default"/>
      </w:rPr>
    </w:lvl>
    <w:lvl w:ilvl="5" w:tplc="96D03F28" w:tentative="1">
      <w:start w:val="1"/>
      <w:numFmt w:val="bullet"/>
      <w:lvlText w:val=""/>
      <w:lvlJc w:val="left"/>
      <w:pPr>
        <w:ind w:left="5040" w:hanging="360"/>
      </w:pPr>
      <w:rPr>
        <w:rFonts w:ascii="Wingdings" w:hAnsi="Wingdings" w:hint="default"/>
      </w:rPr>
    </w:lvl>
    <w:lvl w:ilvl="6" w:tplc="488EC606" w:tentative="1">
      <w:start w:val="1"/>
      <w:numFmt w:val="bullet"/>
      <w:lvlText w:val=""/>
      <w:lvlJc w:val="left"/>
      <w:pPr>
        <w:ind w:left="5760" w:hanging="360"/>
      </w:pPr>
      <w:rPr>
        <w:rFonts w:ascii="Symbol" w:hAnsi="Symbol" w:hint="default"/>
      </w:rPr>
    </w:lvl>
    <w:lvl w:ilvl="7" w:tplc="5CF49AF4" w:tentative="1">
      <w:start w:val="1"/>
      <w:numFmt w:val="bullet"/>
      <w:lvlText w:val="o"/>
      <w:lvlJc w:val="left"/>
      <w:pPr>
        <w:ind w:left="6480" w:hanging="360"/>
      </w:pPr>
      <w:rPr>
        <w:rFonts w:ascii="Courier New" w:hAnsi="Courier New" w:cs="Courier New" w:hint="default"/>
      </w:rPr>
    </w:lvl>
    <w:lvl w:ilvl="8" w:tplc="FEA22202"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1sDQ3MzE2MjQ0NDBS0lEKTi0uzszPAykwrAUAisU9nCwAAAA="/>
  </w:docVars>
  <w:rsids>
    <w:rsidRoot w:val="00861C66"/>
    <w:rsid w:val="00002C21"/>
    <w:rsid w:val="00047585"/>
    <w:rsid w:val="00047FF6"/>
    <w:rsid w:val="000B7A09"/>
    <w:rsid w:val="000E7199"/>
    <w:rsid w:val="00106AC3"/>
    <w:rsid w:val="001826B8"/>
    <w:rsid w:val="001D2758"/>
    <w:rsid w:val="001E192F"/>
    <w:rsid w:val="002874B5"/>
    <w:rsid w:val="00344E48"/>
    <w:rsid w:val="003C2BFE"/>
    <w:rsid w:val="003E5423"/>
    <w:rsid w:val="00507909"/>
    <w:rsid w:val="00542D95"/>
    <w:rsid w:val="00545834"/>
    <w:rsid w:val="005A54F6"/>
    <w:rsid w:val="00631169"/>
    <w:rsid w:val="006C15BA"/>
    <w:rsid w:val="00741568"/>
    <w:rsid w:val="00812EFE"/>
    <w:rsid w:val="00861C66"/>
    <w:rsid w:val="00876A8F"/>
    <w:rsid w:val="008D1AB0"/>
    <w:rsid w:val="0098064D"/>
    <w:rsid w:val="009872D0"/>
    <w:rsid w:val="00A12C8A"/>
    <w:rsid w:val="00A75B20"/>
    <w:rsid w:val="00B566C6"/>
    <w:rsid w:val="00B9082E"/>
    <w:rsid w:val="00C31C8F"/>
    <w:rsid w:val="00C4275E"/>
    <w:rsid w:val="00CD0DD6"/>
    <w:rsid w:val="00CD1C33"/>
    <w:rsid w:val="00CF409F"/>
    <w:rsid w:val="00D22176"/>
    <w:rsid w:val="00D41CF4"/>
    <w:rsid w:val="00D6773B"/>
    <w:rsid w:val="00DB0ADE"/>
    <w:rsid w:val="00E07DC5"/>
    <w:rsid w:val="00E300D8"/>
    <w:rsid w:val="00E376C6"/>
    <w:rsid w:val="00E82164"/>
    <w:rsid w:val="00F44AAE"/>
    <w:rsid w:val="00FA292E"/>
    <w:rsid w:val="00FA46CA"/>
    <w:rsid w:val="00FF7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C6"/>
  </w:style>
  <w:style w:type="paragraph" w:styleId="Footer">
    <w:name w:val="footer"/>
    <w:basedOn w:val="Normal"/>
    <w:link w:val="FooterChar"/>
    <w:uiPriority w:val="99"/>
    <w:unhideWhenUsed/>
    <w:rsid w:val="00E37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C6"/>
  </w:style>
  <w:style w:type="paragraph" w:styleId="BalloonText">
    <w:name w:val="Balloon Text"/>
    <w:basedOn w:val="Normal"/>
    <w:link w:val="BalloonTextChar"/>
    <w:uiPriority w:val="99"/>
    <w:semiHidden/>
    <w:unhideWhenUsed/>
    <w:rsid w:val="00E37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6C6"/>
    <w:rPr>
      <w:rFonts w:ascii="Tahoma" w:hAnsi="Tahoma" w:cs="Tahoma"/>
      <w:sz w:val="16"/>
      <w:szCs w:val="16"/>
    </w:rPr>
  </w:style>
  <w:style w:type="paragraph" w:styleId="ListParagraph">
    <w:name w:val="List Paragraph"/>
    <w:basedOn w:val="Normal"/>
    <w:uiPriority w:val="34"/>
    <w:qFormat/>
    <w:rsid w:val="005A54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6C6"/>
  </w:style>
  <w:style w:type="paragraph" w:styleId="Footer">
    <w:name w:val="footer"/>
    <w:basedOn w:val="Normal"/>
    <w:link w:val="FooterChar"/>
    <w:uiPriority w:val="99"/>
    <w:unhideWhenUsed/>
    <w:rsid w:val="00E37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6C6"/>
  </w:style>
  <w:style w:type="paragraph" w:styleId="BalloonText">
    <w:name w:val="Balloon Text"/>
    <w:basedOn w:val="Normal"/>
    <w:link w:val="BalloonTextChar"/>
    <w:uiPriority w:val="99"/>
    <w:semiHidden/>
    <w:unhideWhenUsed/>
    <w:rsid w:val="00E376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6C6"/>
    <w:rPr>
      <w:rFonts w:ascii="Tahoma" w:hAnsi="Tahoma" w:cs="Tahoma"/>
      <w:sz w:val="16"/>
      <w:szCs w:val="16"/>
    </w:rPr>
  </w:style>
  <w:style w:type="paragraph" w:styleId="ListParagraph">
    <w:name w:val="List Paragraph"/>
    <w:basedOn w:val="Normal"/>
    <w:uiPriority w:val="34"/>
    <w:qFormat/>
    <w:rsid w:val="005A54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2019-04-12T02:33:00Z</dcterms:created>
  <dcterms:modified xsi:type="dcterms:W3CDTF">2019-04-12T02:33:00Z</dcterms:modified>
</cp:coreProperties>
</file>